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6C7" w:rsidRDefault="002936C7" w:rsidP="00584DB8">
      <w:pPr>
        <w:spacing w:after="0" w:line="480" w:lineRule="auto"/>
      </w:pPr>
    </w:p>
    <w:p w:rsidR="00661BFD" w:rsidRDefault="00661BFD" w:rsidP="00584DB8">
      <w:pPr>
        <w:spacing w:after="0" w:line="480" w:lineRule="auto"/>
      </w:pPr>
    </w:p>
    <w:p w:rsidR="00661BFD" w:rsidRDefault="00661BFD" w:rsidP="00584DB8">
      <w:pPr>
        <w:spacing w:after="0" w:line="480" w:lineRule="auto"/>
      </w:pPr>
    </w:p>
    <w:p w:rsidR="00661BFD" w:rsidRDefault="00661BFD" w:rsidP="00584DB8">
      <w:pPr>
        <w:spacing w:after="0" w:line="480" w:lineRule="auto"/>
      </w:pPr>
    </w:p>
    <w:p w:rsidR="00661BFD" w:rsidRDefault="00661BFD" w:rsidP="00584DB8">
      <w:pPr>
        <w:spacing w:after="0" w:line="480" w:lineRule="auto"/>
      </w:pPr>
    </w:p>
    <w:p w:rsidR="00661BFD" w:rsidRDefault="00661BFD" w:rsidP="00584DB8">
      <w:pPr>
        <w:spacing w:after="0" w:line="480" w:lineRule="auto"/>
      </w:pPr>
    </w:p>
    <w:p w:rsidR="00661BFD" w:rsidRDefault="00661BFD" w:rsidP="00584DB8">
      <w:pPr>
        <w:spacing w:after="0" w:line="480" w:lineRule="auto"/>
      </w:pPr>
    </w:p>
    <w:p w:rsidR="00661BFD" w:rsidRDefault="00661BFD" w:rsidP="00584DB8">
      <w:pPr>
        <w:spacing w:after="0" w:line="480" w:lineRule="auto"/>
        <w:jc w:val="center"/>
      </w:pPr>
      <w:r>
        <w:t>The Texas Penal Code</w:t>
      </w:r>
    </w:p>
    <w:p w:rsidR="00661BFD" w:rsidRDefault="00661BFD" w:rsidP="00584DB8">
      <w:pPr>
        <w:spacing w:after="0" w:line="480" w:lineRule="auto"/>
        <w:jc w:val="center"/>
      </w:pPr>
      <w:r>
        <w:t>Institution’s Name</w:t>
      </w:r>
    </w:p>
    <w:p w:rsidR="00661BFD" w:rsidRDefault="00661BFD" w:rsidP="00584DB8">
      <w:pPr>
        <w:spacing w:after="0" w:line="480" w:lineRule="auto"/>
        <w:jc w:val="center"/>
      </w:pPr>
      <w:r>
        <w:t>Student’s Name</w:t>
      </w:r>
    </w:p>
    <w:p w:rsidR="00661BFD" w:rsidRDefault="00661BFD" w:rsidP="00584DB8">
      <w:pPr>
        <w:spacing w:after="0" w:line="480" w:lineRule="auto"/>
        <w:jc w:val="center"/>
      </w:pPr>
      <w:r>
        <w:t>Date</w:t>
      </w:r>
    </w:p>
    <w:p w:rsidR="00661BFD" w:rsidRDefault="00661BFD" w:rsidP="00584DB8">
      <w:pPr>
        <w:spacing w:after="0" w:line="480" w:lineRule="auto"/>
      </w:pPr>
      <w:r>
        <w:br w:type="page"/>
      </w:r>
    </w:p>
    <w:p w:rsidR="00661BFD" w:rsidRDefault="00661BFD" w:rsidP="00584DB8">
      <w:pPr>
        <w:spacing w:after="0" w:line="480" w:lineRule="auto"/>
        <w:jc w:val="center"/>
      </w:pPr>
      <w:r>
        <w:lastRenderedPageBreak/>
        <w:t>The Texas Penal Code</w:t>
      </w:r>
    </w:p>
    <w:p w:rsidR="00584DB8" w:rsidRDefault="00661BFD" w:rsidP="00584DB8">
      <w:pPr>
        <w:pStyle w:val="NormalWeb"/>
        <w:spacing w:before="0" w:beforeAutospacing="0" w:after="0" w:afterAutospacing="0" w:line="480" w:lineRule="auto"/>
        <w:rPr>
          <w:color w:val="0E101A"/>
        </w:rPr>
      </w:pPr>
      <w:r>
        <w:rPr>
          <w:b/>
        </w:rPr>
        <w:tab/>
      </w:r>
      <w:r w:rsidR="00584DB8">
        <w:rPr>
          <w:color w:val="0E101A"/>
        </w:rPr>
        <w:t>Actus reus and mens rea are elements of criminal actions. Actus reus and mens rea collectively can be summarized in the statement 'no guilty actions without a guilty mind' (Hasitha &amp; Jain, 2019). Actus reus connotes the component of actually doing actions that are guilty and are deemed to be criminal. At the same time, mens rea implies the criminal's mental state of guilt, even indicating their intentions, whether nefarious or innocent. The objective of this essay is to provide a concise overview of a few of the statutes contained in the Texas Penal Code by using the aforementioned elements of criminal actions to give a unique perspective towards the law.</w:t>
      </w:r>
    </w:p>
    <w:p w:rsidR="00584DB8" w:rsidRDefault="00584DB8" w:rsidP="00584DB8">
      <w:pPr>
        <w:pStyle w:val="NormalWeb"/>
        <w:spacing w:before="0" w:beforeAutospacing="0" w:after="0" w:afterAutospacing="0" w:line="480" w:lineRule="auto"/>
        <w:rPr>
          <w:color w:val="0E101A"/>
        </w:rPr>
      </w:pPr>
      <w:r>
        <w:rPr>
          <w:rStyle w:val="Strong"/>
          <w:color w:val="0E101A"/>
        </w:rPr>
        <w:t>Chapter 15. Preparatory offences. </w:t>
      </w:r>
    </w:p>
    <w:p w:rsidR="00584DB8" w:rsidRDefault="00584DB8" w:rsidP="00584DB8">
      <w:pPr>
        <w:pStyle w:val="NormalWeb"/>
        <w:spacing w:before="0" w:beforeAutospacing="0" w:after="0" w:afterAutospacing="0" w:line="480" w:lineRule="auto"/>
        <w:rPr>
          <w:color w:val="0E101A"/>
        </w:rPr>
      </w:pPr>
      <w:r>
        <w:rPr>
          <w:rStyle w:val="Strong"/>
          <w:color w:val="0E101A"/>
        </w:rPr>
        <w:t>           </w:t>
      </w:r>
      <w:r>
        <w:rPr>
          <w:color w:val="0E101A"/>
        </w:rPr>
        <w:t>According to Sec. 15.01., an offense is deemed to have been committed when a person does an act amounting to more than the mere preparation to do that act but fails to commit the offense intended. This clause alone demonstrates that actus reus and mens rea are part of inchoate crimes.</w:t>
      </w:r>
    </w:p>
    <w:p w:rsidR="00584DB8" w:rsidRDefault="00584DB8" w:rsidP="00584DB8">
      <w:pPr>
        <w:pStyle w:val="NormalWeb"/>
        <w:spacing w:before="0" w:beforeAutospacing="0" w:after="0" w:afterAutospacing="0" w:line="480" w:lineRule="auto"/>
        <w:rPr>
          <w:color w:val="0E101A"/>
        </w:rPr>
      </w:pPr>
      <w:r>
        <w:rPr>
          <w:rStyle w:val="Emphasis"/>
          <w:color w:val="0E101A"/>
        </w:rPr>
        <w:t>           Sec. 15.031. CRIMINAL SOLICITATION OF A MINOR.</w:t>
      </w:r>
    </w:p>
    <w:p w:rsidR="00584DB8" w:rsidRDefault="00584DB8" w:rsidP="00584DB8">
      <w:pPr>
        <w:pStyle w:val="NormalWeb"/>
        <w:spacing w:before="0" w:beforeAutospacing="0" w:after="0" w:afterAutospacing="0" w:line="480" w:lineRule="auto"/>
        <w:rPr>
          <w:color w:val="0E101A"/>
        </w:rPr>
      </w:pPr>
      <w:r>
        <w:rPr>
          <w:rStyle w:val="Emphasis"/>
          <w:color w:val="0E101A"/>
        </w:rPr>
        <w:t>           </w:t>
      </w:r>
      <w:r>
        <w:rPr>
          <w:color w:val="0E101A"/>
        </w:rPr>
        <w:t>Specific intent refers to when an individual is partially or fully aware that their actions constitute illegal conduct. In contrast, general intent only requires that an individual desire to commit an act. In these cases, perpetrators usually have a specific intent to commit the crime. These crimes are also viewed to be strict liability cases by the law. An offense in this category is usually one category lower than the solicited offense. However, in exceptional circumstances such as when criminal gang activity is directly related to the case, a crime in this section is treated to be of the same category as the solicited offense, and punishments are meted out selectively on the criminals on this law-prescribed criterion.</w:t>
      </w:r>
    </w:p>
    <w:p w:rsidR="00584DB8" w:rsidRDefault="00584DB8" w:rsidP="00584DB8">
      <w:pPr>
        <w:pStyle w:val="NormalWeb"/>
        <w:spacing w:before="0" w:beforeAutospacing="0" w:after="0" w:afterAutospacing="0" w:line="480" w:lineRule="auto"/>
        <w:rPr>
          <w:color w:val="0E101A"/>
        </w:rPr>
      </w:pPr>
      <w:r>
        <w:rPr>
          <w:rStyle w:val="Strong"/>
          <w:color w:val="0E101A"/>
        </w:rPr>
        <w:t>Chapter 20. Kidnapping, Unlawful Restraint, And Smuggling Of Persons.    </w:t>
      </w:r>
    </w:p>
    <w:p w:rsidR="00584DB8" w:rsidRDefault="00584DB8" w:rsidP="00721E4B">
      <w:pPr>
        <w:pStyle w:val="NormalWeb"/>
        <w:spacing w:before="0" w:beforeAutospacing="0" w:after="0" w:afterAutospacing="0" w:line="480" w:lineRule="auto"/>
        <w:ind w:firstLine="720"/>
        <w:rPr>
          <w:color w:val="0E101A"/>
        </w:rPr>
      </w:pPr>
      <w:r>
        <w:rPr>
          <w:color w:val="0E101A"/>
        </w:rPr>
        <w:t>In Sec. 20A.01. </w:t>
      </w:r>
      <w:r w:rsidR="00721E4B">
        <w:rPr>
          <w:color w:val="0E101A"/>
        </w:rPr>
        <w:t>DEFIN</w:t>
      </w:r>
      <w:bookmarkStart w:id="0" w:name="_GoBack"/>
      <w:bookmarkEnd w:id="0"/>
      <w:r w:rsidR="00721E4B">
        <w:rPr>
          <w:color w:val="0E101A"/>
        </w:rPr>
        <w:t>ITIONS.</w:t>
      </w:r>
      <w:r>
        <w:rPr>
          <w:color w:val="0E101A"/>
        </w:rPr>
        <w:t>, restraint is defined as, "To restrict a person's movements without consent, to interfere substantially with the person's liberty, by moving the person from one place to another or by confining the person." (Snape, 2017). This statement connotes forcible action and thus can be considered to be branching from actus reus.</w:t>
      </w:r>
    </w:p>
    <w:p w:rsidR="00584DB8" w:rsidRDefault="00584DB8" w:rsidP="00721E4B">
      <w:pPr>
        <w:pStyle w:val="NormalWeb"/>
        <w:spacing w:before="0" w:beforeAutospacing="0" w:after="0" w:afterAutospacing="0" w:line="480" w:lineRule="auto"/>
        <w:ind w:firstLine="720"/>
        <w:rPr>
          <w:color w:val="0E101A"/>
        </w:rPr>
      </w:pPr>
      <w:r>
        <w:rPr>
          <w:rStyle w:val="Emphasis"/>
          <w:color w:val="0E101A"/>
        </w:rPr>
        <w:t>Sec. 20.02. UNLAWFUL RESTRAINT.</w:t>
      </w:r>
    </w:p>
    <w:p w:rsidR="00584DB8" w:rsidRDefault="00584DB8" w:rsidP="00721E4B">
      <w:pPr>
        <w:pStyle w:val="NormalWeb"/>
        <w:spacing w:before="0" w:beforeAutospacing="0" w:after="0" w:afterAutospacing="0" w:line="480" w:lineRule="auto"/>
        <w:ind w:firstLine="720"/>
        <w:rPr>
          <w:color w:val="0E101A"/>
        </w:rPr>
      </w:pPr>
      <w:r>
        <w:rPr>
          <w:color w:val="0E101A"/>
        </w:rPr>
        <w:t>Individuals who commit this crime have specific intent according to mens rea. These cases are strict liability cases. These offenses are usually Class A misdemeanors except in particular circumstances where they can be treated either as state jail felonies or third-degree felonies. Punishment for Class A misdemeanors involves either or both jail time of up to one year or a fine of up to $4,000. The legal defenses for these offenses are the person restrained forcibly was a child below 14 years of age, the restrainer is a relative of the child, and their sole intention was to assume legal control of the child.</w:t>
      </w:r>
    </w:p>
    <w:p w:rsidR="00584DB8" w:rsidRDefault="00584DB8" w:rsidP="00721E4B">
      <w:pPr>
        <w:pStyle w:val="NormalWeb"/>
        <w:spacing w:before="0" w:beforeAutospacing="0" w:after="0" w:afterAutospacing="0" w:line="480" w:lineRule="auto"/>
        <w:ind w:firstLine="720"/>
        <w:rPr>
          <w:color w:val="0E101A"/>
        </w:rPr>
      </w:pPr>
      <w:r>
        <w:rPr>
          <w:rStyle w:val="Emphasis"/>
          <w:color w:val="0E101A"/>
        </w:rPr>
        <w:t>Sec. 20.03. KIDNAPPING.</w:t>
      </w:r>
    </w:p>
    <w:p w:rsidR="00584DB8" w:rsidRDefault="00584DB8" w:rsidP="00721E4B">
      <w:pPr>
        <w:pStyle w:val="NormalWeb"/>
        <w:spacing w:before="0" w:beforeAutospacing="0" w:after="0" w:afterAutospacing="0" w:line="480" w:lineRule="auto"/>
        <w:ind w:firstLine="720"/>
        <w:rPr>
          <w:color w:val="0E101A"/>
        </w:rPr>
      </w:pPr>
      <w:r>
        <w:rPr>
          <w:color w:val="0E101A"/>
        </w:rPr>
        <w:t>Offenders have a specific intent under mens rea. These are considered cases of strict liability, especially if there was physical harm to the kidnapped person. The punishment for such offenders, if found guilty, is imprisonment in the Texas Department Of Criminal Justice for not less than two years, but not exceeding ten years, as kidnapping is a third-degree felony. It is a defense to prosecution if the abductor did not use or threaten to use deadly force during the commission of the crime, the actor was related to the individual abducted and if the actor was attempting to assume legal control of the person abducted.</w:t>
      </w:r>
    </w:p>
    <w:p w:rsidR="00584DB8" w:rsidRDefault="00584DB8" w:rsidP="00721E4B">
      <w:pPr>
        <w:pStyle w:val="NormalWeb"/>
        <w:spacing w:before="0" w:beforeAutospacing="0" w:after="0" w:afterAutospacing="0" w:line="480" w:lineRule="auto"/>
        <w:ind w:firstLine="720"/>
        <w:rPr>
          <w:color w:val="0E101A"/>
        </w:rPr>
      </w:pPr>
      <w:r>
        <w:rPr>
          <w:rStyle w:val="Emphasis"/>
          <w:color w:val="0E101A"/>
        </w:rPr>
        <w:t>Sec. 20.04. AGGRAVATED KIDNAPPING.</w:t>
      </w:r>
    </w:p>
    <w:p w:rsidR="00584DB8" w:rsidRDefault="00584DB8" w:rsidP="00721E4B">
      <w:pPr>
        <w:pStyle w:val="NormalWeb"/>
        <w:spacing w:before="0" w:beforeAutospacing="0" w:after="0" w:afterAutospacing="0" w:line="480" w:lineRule="auto"/>
        <w:ind w:firstLine="720"/>
        <w:rPr>
          <w:color w:val="0E101A"/>
        </w:rPr>
      </w:pPr>
      <w:r>
        <w:rPr>
          <w:color w:val="0E101A"/>
        </w:rPr>
        <w:t>Perpetrators and offenders who commit this crime have a specific intent. These are strict liability cases. These crimes are usually treated as first-degree felonies. However, in cases where the offender or actor left the kidnapped individual in a safe place and is still alive, the case can be deemed a second-degree felony. The punishment for first-degree felonies is life imprisonment or a 5-99 year imprisonment, while the sentence for a second-degree felony is imprisonment between two and twenty years.</w:t>
      </w:r>
    </w:p>
    <w:p w:rsidR="00584DB8" w:rsidRDefault="00584DB8" w:rsidP="00584DB8">
      <w:pPr>
        <w:pStyle w:val="NormalWeb"/>
        <w:spacing w:before="0" w:beforeAutospacing="0" w:after="0" w:afterAutospacing="0" w:line="480" w:lineRule="auto"/>
        <w:rPr>
          <w:color w:val="0E101A"/>
        </w:rPr>
      </w:pPr>
      <w:r>
        <w:rPr>
          <w:rStyle w:val="Strong"/>
          <w:color w:val="0E101A"/>
        </w:rPr>
        <w:t>Chapter 30. Burglary and Criminal Trespass.</w:t>
      </w:r>
    </w:p>
    <w:p w:rsidR="00584DB8" w:rsidRDefault="00584DB8" w:rsidP="00584DB8">
      <w:pPr>
        <w:pStyle w:val="NormalWeb"/>
        <w:spacing w:before="0" w:beforeAutospacing="0" w:after="0" w:afterAutospacing="0" w:line="480" w:lineRule="auto"/>
        <w:rPr>
          <w:color w:val="0E101A"/>
        </w:rPr>
      </w:pPr>
      <w:r>
        <w:rPr>
          <w:rStyle w:val="Emphasis"/>
          <w:color w:val="0E101A"/>
        </w:rPr>
        <w:t>           Sec. 30.02. BURGLARY.       </w:t>
      </w:r>
    </w:p>
    <w:p w:rsidR="00584DB8" w:rsidRDefault="00584DB8" w:rsidP="00584DB8">
      <w:pPr>
        <w:pStyle w:val="NormalWeb"/>
        <w:spacing w:before="0" w:beforeAutospacing="0" w:after="0" w:afterAutospacing="0" w:line="480" w:lineRule="auto"/>
        <w:rPr>
          <w:color w:val="0E101A"/>
        </w:rPr>
      </w:pPr>
      <w:r>
        <w:rPr>
          <w:rStyle w:val="Emphasis"/>
          <w:color w:val="0E101A"/>
        </w:rPr>
        <w:t>           </w:t>
      </w:r>
      <w:r>
        <w:rPr>
          <w:color w:val="0E101A"/>
        </w:rPr>
        <w:t>Criminals involved in this crime have a specific intent, but the cases may not always be strict liability cases. They can become strict liability cases in the event where other people are hurt or injured in any way during the commission of the crime. Depending on the situations that surrounded the criminal activity of burglary, the case can be treated differently. For instance, a burglary is a state jail felony if committed in a building other than a habitation, a second-degree offense if committed in a habitation, and a third-degree offense if committed in a building in which a controlled substance (as defined in Section 481.002, Health and Safety Code) is generally stored. While it is a first-degree felony if the offense is done in a habitation and the offender intended, committed or attempted to commit a crime other than just the crime of theft. Each of these categories of felonies has different punishments as prescribed by the penal code and have been aforementioned. The punishment for a state jail felony is a jail term not less than 180 days but not exceeding two years and a fine of up to $10,000.</w:t>
      </w:r>
    </w:p>
    <w:p w:rsidR="00584DB8" w:rsidRDefault="00584DB8" w:rsidP="00584DB8">
      <w:pPr>
        <w:pStyle w:val="NormalWeb"/>
        <w:spacing w:before="0" w:beforeAutospacing="0" w:after="0" w:afterAutospacing="0" w:line="480" w:lineRule="auto"/>
        <w:rPr>
          <w:color w:val="0E101A"/>
        </w:rPr>
      </w:pPr>
      <w:r>
        <w:rPr>
          <w:color w:val="0E101A"/>
        </w:rPr>
        <w:t>           </w:t>
      </w:r>
      <w:r>
        <w:rPr>
          <w:rStyle w:val="Emphasis"/>
          <w:color w:val="0E101A"/>
        </w:rPr>
        <w:t>Sec. 30.03. BURGLARY OF COIN-OPERATED OR COIN COLLECTION MACHINES. </w:t>
      </w:r>
    </w:p>
    <w:p w:rsidR="00584DB8" w:rsidRDefault="00584DB8" w:rsidP="00584DB8">
      <w:pPr>
        <w:pStyle w:val="NormalWeb"/>
        <w:spacing w:before="0" w:beforeAutospacing="0" w:after="0" w:afterAutospacing="0" w:line="480" w:lineRule="auto"/>
        <w:rPr>
          <w:color w:val="0E101A"/>
        </w:rPr>
      </w:pPr>
      <w:r>
        <w:rPr>
          <w:rStyle w:val="Emphasis"/>
          <w:color w:val="0E101A"/>
        </w:rPr>
        <w:t>           </w:t>
      </w:r>
      <w:r>
        <w:rPr>
          <w:color w:val="0E101A"/>
        </w:rPr>
        <w:t>Offenders have a specific intent. These cases are not strict liability in nature. Since they are Class A misdemeanors, punishment involves either or both jail time of up to one year and a fine of up to $4,000.</w:t>
      </w:r>
    </w:p>
    <w:p w:rsidR="00584DB8" w:rsidRDefault="00584DB8" w:rsidP="00584DB8">
      <w:pPr>
        <w:pStyle w:val="NormalWeb"/>
        <w:spacing w:before="0" w:beforeAutospacing="0" w:after="0" w:afterAutospacing="0" w:line="480" w:lineRule="auto"/>
        <w:rPr>
          <w:color w:val="0E101A"/>
        </w:rPr>
      </w:pPr>
      <w:r>
        <w:rPr>
          <w:rStyle w:val="Emphasis"/>
          <w:color w:val="0E101A"/>
        </w:rPr>
        <w:t>           Sec. 30.04. BURGLARY OF VEHICLES. </w:t>
      </w:r>
    </w:p>
    <w:p w:rsidR="00584DB8" w:rsidRDefault="00584DB8" w:rsidP="00584DB8">
      <w:pPr>
        <w:pStyle w:val="NormalWeb"/>
        <w:spacing w:before="0" w:beforeAutospacing="0" w:after="0" w:afterAutospacing="0" w:line="480" w:lineRule="auto"/>
        <w:rPr>
          <w:color w:val="0E101A"/>
        </w:rPr>
      </w:pPr>
      <w:r>
        <w:rPr>
          <w:rStyle w:val="Emphasis"/>
          <w:color w:val="0E101A"/>
        </w:rPr>
        <w:t>           </w:t>
      </w:r>
      <w:r>
        <w:rPr>
          <w:color w:val="0E101A"/>
        </w:rPr>
        <w:t>Actors who commit this crime have a specific intent, and the cases are not strict liability cases unless one or more people were injured or harmed during the commission of the crime. Depending on the circumstances revolving around the crime, this crime can be treated as a Class A misdemeanor, a Class A misdemeanor with a minimum jail term sentence of six months, a state jail felony, or a third-degree felony. Each of these categories has different punishments, and each has been detailed in different sections above. It is an affirmative defense to the prosecution that the actor entered a rail car or any part of a rail car and was at that time an employee or a representative of employees exercising a right under the Railway Labor Act.</w:t>
      </w:r>
    </w:p>
    <w:p w:rsidR="00DA4A5D" w:rsidRDefault="00DA4A5D" w:rsidP="00584DB8">
      <w:pPr>
        <w:spacing w:after="0" w:line="480" w:lineRule="auto"/>
      </w:pPr>
      <w:r>
        <w:br w:type="page"/>
      </w:r>
    </w:p>
    <w:p w:rsidR="008A6F3D" w:rsidRDefault="00DA4A5D" w:rsidP="00584DB8">
      <w:pPr>
        <w:spacing w:after="0" w:line="480" w:lineRule="auto"/>
        <w:jc w:val="center"/>
      </w:pPr>
      <w:r>
        <w:t>References</w:t>
      </w:r>
    </w:p>
    <w:p w:rsidR="00DA4A5D" w:rsidRDefault="00DA4A5D" w:rsidP="00584DB8">
      <w:pPr>
        <w:spacing w:after="0" w:line="480" w:lineRule="auto"/>
      </w:pPr>
      <w:r w:rsidRPr="00DA4A5D">
        <w:t>Hasitha, S., &amp; Jain, A. (2019). Actus reus and mens rea.</w:t>
      </w:r>
    </w:p>
    <w:p w:rsidR="00DA4A5D" w:rsidRPr="00DA4A5D" w:rsidRDefault="00DA4A5D" w:rsidP="00584DB8">
      <w:pPr>
        <w:spacing w:after="0" w:line="480" w:lineRule="auto"/>
      </w:pPr>
      <w:r w:rsidRPr="00DA4A5D">
        <w:t>Snape, J. (2017</w:t>
      </w:r>
      <w:r>
        <w:t>).</w:t>
      </w:r>
      <w:r w:rsidRPr="00DA4A5D">
        <w:rPr>
          <w:i/>
        </w:rPr>
        <w:t xml:space="preserve"> Texas Penal Code. Snape Legal Publishing</w:t>
      </w:r>
      <w:r w:rsidRPr="00DA4A5D">
        <w:t xml:space="preserve">. 2017.  </w:t>
      </w:r>
    </w:p>
    <w:p w:rsidR="00661BFD" w:rsidRDefault="00661BFD" w:rsidP="00584DB8">
      <w:pPr>
        <w:spacing w:after="0" w:line="480" w:lineRule="auto"/>
        <w:rPr>
          <w:b/>
        </w:rPr>
      </w:pPr>
      <w:r>
        <w:rPr>
          <w:b/>
        </w:rPr>
        <w:tab/>
      </w:r>
    </w:p>
    <w:p w:rsidR="00661BFD" w:rsidRPr="00661BFD" w:rsidRDefault="00661BFD" w:rsidP="00584DB8">
      <w:pPr>
        <w:spacing w:after="0" w:line="480" w:lineRule="auto"/>
      </w:pPr>
      <w:r>
        <w:tab/>
      </w:r>
    </w:p>
    <w:sectPr w:rsidR="00661BFD" w:rsidRPr="00661BFD" w:rsidSect="00661B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D90" w:rsidRDefault="00B85D90" w:rsidP="00661BFD">
      <w:pPr>
        <w:spacing w:after="0" w:line="240" w:lineRule="auto"/>
      </w:pPr>
      <w:r>
        <w:separator/>
      </w:r>
    </w:p>
  </w:endnote>
  <w:endnote w:type="continuationSeparator" w:id="0">
    <w:p w:rsidR="00B85D90" w:rsidRDefault="00B85D90" w:rsidP="00661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D90" w:rsidRDefault="00B85D90" w:rsidP="00661BFD">
      <w:pPr>
        <w:spacing w:after="0" w:line="240" w:lineRule="auto"/>
      </w:pPr>
      <w:r>
        <w:separator/>
      </w:r>
    </w:p>
  </w:footnote>
  <w:footnote w:type="continuationSeparator" w:id="0">
    <w:p w:rsidR="00B85D90" w:rsidRDefault="00B85D90" w:rsidP="00661B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BFD" w:rsidRDefault="00661BFD">
    <w:pPr>
      <w:pStyle w:val="Header"/>
      <w:jc w:val="right"/>
    </w:pPr>
    <w:r>
      <w:t>THE TEXAS PENAL CODE</w:t>
    </w:r>
    <w:r>
      <w:tab/>
    </w:r>
    <w:r>
      <w:tab/>
    </w:r>
    <w:sdt>
      <w:sdtPr>
        <w:id w:val="-5772873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7596">
          <w:rPr>
            <w:noProof/>
          </w:rPr>
          <w:t>6</w:t>
        </w:r>
        <w:r>
          <w:rPr>
            <w:noProof/>
          </w:rPr>
          <w:fldChar w:fldCharType="end"/>
        </w:r>
      </w:sdtContent>
    </w:sdt>
  </w:p>
  <w:p w:rsidR="00661BFD" w:rsidRDefault="00661B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BFD" w:rsidRDefault="00661BFD">
    <w:pPr>
      <w:pStyle w:val="Header"/>
      <w:jc w:val="right"/>
    </w:pPr>
    <w:r>
      <w:t>Running head: THE TEXAS PENAL CODE</w:t>
    </w:r>
    <w:r>
      <w:tab/>
    </w:r>
    <w:r>
      <w:tab/>
    </w:r>
    <w:sdt>
      <w:sdtPr>
        <w:id w:val="-10164662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5D90">
          <w:rPr>
            <w:noProof/>
          </w:rPr>
          <w:t>1</w:t>
        </w:r>
        <w:r>
          <w:rPr>
            <w:noProof/>
          </w:rPr>
          <w:fldChar w:fldCharType="end"/>
        </w:r>
      </w:sdtContent>
    </w:sdt>
  </w:p>
  <w:p w:rsidR="00661BFD" w:rsidRDefault="00661B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61BFD"/>
    <w:rsid w:val="000E7FFA"/>
    <w:rsid w:val="0024019B"/>
    <w:rsid w:val="0026192A"/>
    <w:rsid w:val="002936C7"/>
    <w:rsid w:val="00584DB8"/>
    <w:rsid w:val="00622180"/>
    <w:rsid w:val="00661BFD"/>
    <w:rsid w:val="00674618"/>
    <w:rsid w:val="00693720"/>
    <w:rsid w:val="00721E4B"/>
    <w:rsid w:val="007630E3"/>
    <w:rsid w:val="0078068C"/>
    <w:rsid w:val="008A6F3D"/>
    <w:rsid w:val="00AE7596"/>
    <w:rsid w:val="00B0237E"/>
    <w:rsid w:val="00B85D90"/>
    <w:rsid w:val="00C11A99"/>
    <w:rsid w:val="00D706B1"/>
    <w:rsid w:val="00DA4A5D"/>
    <w:rsid w:val="00DB5885"/>
    <w:rsid w:val="00DF5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BFD"/>
  </w:style>
  <w:style w:type="paragraph" w:styleId="Footer">
    <w:name w:val="footer"/>
    <w:basedOn w:val="Normal"/>
    <w:link w:val="FooterChar"/>
    <w:uiPriority w:val="99"/>
    <w:unhideWhenUsed/>
    <w:rsid w:val="00661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BFD"/>
  </w:style>
  <w:style w:type="paragraph" w:styleId="NormalWeb">
    <w:name w:val="Normal (Web)"/>
    <w:basedOn w:val="Normal"/>
    <w:uiPriority w:val="99"/>
    <w:semiHidden/>
    <w:unhideWhenUsed/>
    <w:rsid w:val="00584DB8"/>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84DB8"/>
    <w:rPr>
      <w:b/>
      <w:bCs/>
    </w:rPr>
  </w:style>
  <w:style w:type="character" w:styleId="Emphasis">
    <w:name w:val="Emphasis"/>
    <w:basedOn w:val="DefaultParagraphFont"/>
    <w:uiPriority w:val="20"/>
    <w:qFormat/>
    <w:rsid w:val="00584DB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959048">
      <w:bodyDiv w:val="1"/>
      <w:marLeft w:val="0"/>
      <w:marRight w:val="0"/>
      <w:marTop w:val="0"/>
      <w:marBottom w:val="0"/>
      <w:divBdr>
        <w:top w:val="none" w:sz="0" w:space="0" w:color="auto"/>
        <w:left w:val="none" w:sz="0" w:space="0" w:color="auto"/>
        <w:bottom w:val="none" w:sz="0" w:space="0" w:color="auto"/>
        <w:right w:val="none" w:sz="0" w:space="0" w:color="auto"/>
      </w:divBdr>
    </w:div>
    <w:div w:id="131487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2020-06-14T23:26:00Z</dcterms:created>
  <dcterms:modified xsi:type="dcterms:W3CDTF">2020-06-14T23:26:00Z</dcterms:modified>
</cp:coreProperties>
</file>